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Calibri" w:cs="Calibri" w:eastAsia="Calibri" w:hAnsi="Calibri"/>
          <w:b/>
          <w:bCs/>
          <w:color w:val="2E5FA3"/>
          <w:sz w:val="52"/>
          <w:szCs w:val="52"/>
        </w:rPr>
        <w:t xml:space="preserve">Manual ROAAUTO — Service Auto</w:t>
      </w:r>
    </w:p>
    <w:p>
      <w:pPr>
        <w:pBdr>
          <w:bottom w:val="single" w:color="2E5FA3" w:sz="12" w:space="6"/>
        </w:pBdr>
        <w:spacing w:after="320" w:before="0"/>
      </w:pPr>
      <w:r>
        <w:rPr>
          <w:rFonts w:ascii="Calibri" w:cs="Calibri" w:eastAsia="Calibri" w:hAnsi="Calibri"/>
          <w:i/>
          <w:iCs/>
          <w:color w:val="555555"/>
          <w:sz w:val="22"/>
          <w:szCs w:val="22"/>
        </w:rPr>
        <w:t xml:space="preserve">Managementul activității de service auto — de la intrarea autovehiculului până la emiterea facturii.</w:t>
      </w:r>
    </w:p>
    <w:p>
      <w:pPr>
        <w:pStyle w:val="Heading1"/>
        <w:pBdr>
          <w:bottom w:val="single" w:color="2E5FA3" w:sz="8" w:space="4"/>
        </w:pBdr>
        <w:spacing w:after="120" w:before="480"/>
      </w:pPr>
      <w:r>
        <w:rPr>
          <w:rFonts w:ascii="Calibri" w:cs="Calibri" w:eastAsia="Calibri" w:hAnsi="Calibri"/>
          <w:b/>
          <w:bCs/>
          <w:color w:val="2E5FA3"/>
          <w:sz w:val="36"/>
          <w:szCs w:val="36"/>
        </w:rPr>
        <w:t xml:space="preserve">Quickstart — Operații uzuale pentru recepționer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Scenariul 1 — Flux complet: comandă nouă → normare → facturare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800"/>
        <w:gridCol w:w="3800"/>
      </w:tblGrid>
      <w:tr>
        <w:trPr>
          <w:tblHeader/>
        </w:trPr>
        <w:tc>
          <w:tcPr>
            <w:tcW w:type="dxa" w:w="6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Pas</w:t>
            </w:r>
          </w:p>
        </w:tc>
        <w:tc>
          <w:tcPr>
            <w:tcW w:type="dxa" w:w="48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Ce faci</w:t>
            </w:r>
          </w:p>
        </w:tc>
        <w:tc>
          <w:tcPr>
            <w:tcW w:type="dxa" w:w="38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Unde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Deschizi o comandă nouă, alegi tipul comenzii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Comenzi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2.1 Generare comandă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Selectezi clientul și vehiculul (sau adaugi client/mașină nouă direct din formular)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Tot în formularul comenzii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Adaugi operațiile solicitate de client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Tot în formularul comenzii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Intri în normare, adaugi operațiile de manoperă, alegi mecanicii și prețul/oră din listă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Comenzi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2.2 Normare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Înregistrezi materialele consumate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ROAGEST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Consum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Bon de consum pe lucrări în curs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6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Validezi fiecare operație în parte după execuție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Comenzi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2.2 Normare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fereastra Manoperă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7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Validezi comanda (după ce toate operațiile și bonurile sunt complete)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Comenzi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2.3 Validare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8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Emiți factura finală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Facturare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3.1 Factură comandă</w:t>
            </w:r>
          </w:p>
        </w:tc>
      </w:tr>
    </w:tbl>
    <w:p>
      <w:pPr>
        <w:spacing w:after="0" w:before="80"/>
      </w:pPr>
      <w:r>
        <w:t xml:space="preserve"/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Scenariul 2 — Flux rapid: ITP / spălare auto / diverse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Flux pentru servicii simple, cu o singură operație de manoperă și fără materiale.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200"/>
        <w:gridCol w:w="3400"/>
      </w:tblGrid>
      <w:tr>
        <w:trPr>
          <w:tblHeader/>
        </w:trPr>
        <w:tc>
          <w:tcPr>
            <w:tcW w:type="dxa" w:w="6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Pas</w:t>
            </w:r>
          </w:p>
        </w:tc>
        <w:tc>
          <w:tcPr>
            <w:tcW w:type="dxa" w:w="52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Ce faci</w:t>
            </w:r>
          </w:p>
        </w:tc>
        <w:tc>
          <w:tcPr>
            <w:tcW w:type="dxa" w:w="34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Unde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5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Alegi tipul de serviciu și clientul</w:t>
            </w:r>
          </w:p>
        </w:tc>
        <w:tc>
          <w:tcPr>
            <w:tcW w:type="dxa" w:w="3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Facturare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3.2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5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Programul creează comanda și adaugă operația automat</w:t>
            </w:r>
          </w:p>
        </w:tc>
        <w:tc>
          <w:tcPr>
            <w:tcW w:type="dxa" w:w="3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5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Emiți factura direct</w:t>
            </w:r>
          </w:p>
        </w:tc>
        <w:tc>
          <w:tcPr>
            <w:tcW w:type="dxa" w:w="3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—</w:t>
            </w:r>
          </w:p>
        </w:tc>
      </w:tr>
    </w:tbl>
    <w:p>
      <w:pPr>
        <w:spacing w:after="0" w:before="80"/>
      </w:pPr>
      <w:r>
        <w:t xml:space="preserve"/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Scenariul 3 — Vizualizare comenzi și istoric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000"/>
      </w:tblGrid>
      <w:tr>
        <w:trPr>
          <w:tblHeader/>
        </w:trPr>
        <w:tc>
          <w:tcPr>
            <w:tcW w:type="dxa" w:w="42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Ce cauți</w:t>
            </w:r>
          </w:p>
        </w:tc>
        <w:tc>
          <w:tcPr>
            <w:tcW w:type="dxa" w:w="50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Unde</w:t>
            </w:r>
          </w:p>
        </w:tc>
      </w:tr>
      <w:tr>
        <w:tc>
          <w:tcPr>
            <w:tcW w:type="dxa" w:w="4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Comenzile din luna curentă</w:t>
            </w:r>
          </w:p>
        </w:tc>
        <w:tc>
          <w:tcPr>
            <w:tcW w:type="dxa" w:w="5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Comenzi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2.5 Comenzi în luna curentă</w:t>
            </w:r>
          </w:p>
        </w:tc>
      </w:tr>
      <w:tr>
        <w:tc>
          <w:tcPr>
            <w:tcW w:type="dxa" w:w="4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Toate comenzile, inclusiv vechi sau închise</w:t>
            </w:r>
          </w:p>
        </w:tc>
        <w:tc>
          <w:tcPr>
            <w:tcW w:type="dxa" w:w="5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Comenzi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2.6 Istoric comenzi</w:t>
            </w:r>
          </w:p>
        </w:tc>
      </w:tr>
      <w:tr>
        <w:tc>
          <w:tcPr>
            <w:tcW w:type="dxa" w:w="4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Facturile emise în luna curentă</w:t>
            </w:r>
          </w:p>
        </w:tc>
        <w:tc>
          <w:tcPr>
            <w:tcW w:type="dxa" w:w="5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Facturare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3.4 Facturi în luna curentă</w:t>
            </w:r>
          </w:p>
        </w:tc>
      </w:tr>
    </w:tbl>
    <w:p>
      <w:pPr>
        <w:spacing w:after="0" w:before="80"/>
      </w:pPr>
      <w:r>
        <w:t xml:space="preserve"/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Scenariul 4 — Modificare comandă existentă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400"/>
        <w:gridCol w:w="3000"/>
      </w:tblGrid>
      <w:tr>
        <w:trPr>
          <w:tblHeader/>
        </w:trPr>
        <w:tc>
          <w:tcPr>
            <w:tcW w:type="dxa" w:w="28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Situație</w:t>
            </w:r>
          </w:p>
        </w:tc>
        <w:tc>
          <w:tcPr>
            <w:tcW w:type="dxa" w:w="34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Ce faci</w:t>
            </w:r>
          </w:p>
        </w:tc>
        <w:tc>
          <w:tcPr>
            <w:tcW w:type="dxa" w:w="30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Unde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Comanda nu a fost validată</w:t>
            </w:r>
          </w:p>
        </w:tc>
        <w:tc>
          <w:tcPr>
            <w:tcW w:type="dxa" w:w="3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Modifici operațiile din Normare</w:t>
            </w:r>
          </w:p>
        </w:tc>
        <w:tc>
          <w:tcPr>
            <w:tcW w:type="dxa" w:w="3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Comenzi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2.2 Normare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Comanda validată, nefacturată</w:t>
            </w:r>
          </w:p>
        </w:tc>
        <w:tc>
          <w:tcPr>
            <w:tcW w:type="dxa" w:w="3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Modifici clientul/mașina</w:t>
            </w:r>
          </w:p>
        </w:tc>
        <w:tc>
          <w:tcPr>
            <w:tcW w:type="dxa" w:w="3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Facturare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3.1 → Modificare client/masina pe comanda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Comanda facturată</w:t>
            </w:r>
          </w:p>
        </w:tc>
        <w:tc>
          <w:tcPr>
            <w:tcW w:type="dxa" w:w="3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Ștergi factura → modifici → refacturezi</w:t>
            </w:r>
          </w:p>
        </w:tc>
        <w:tc>
          <w:tcPr>
            <w:tcW w:type="dxa" w:w="3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Facturare</w:t>
            </w:r>
            <w:r>
              <w:rPr>
                <w:rFonts w:ascii="Calibri" w:cs="Calibri" w:eastAsia="Calibri" w:hAnsi="Calibri"/>
                <w:color w:val="666666"/>
                <w:sz w:val="22"/>
                <w:szCs w:val="22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 xml:space="preserve">3.1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Comanda facturată trebuie stornată</w:t>
            </w:r>
          </w:p>
        </w:tc>
        <w:tc>
          <w:tcPr>
            <w:tcW w:type="dxa" w:w="3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Comandă storno nouă + bon de retur + manoperă negativă, sau XML storno eFactura</w:t>
            </w:r>
          </w:p>
        </w:tc>
        <w:tc>
          <w:tcPr>
            <w:tcW w:type="dxa" w:w="3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Scenariul 5</w:t>
            </w:r>
          </w:p>
        </w:tc>
      </w:tr>
    </w:tbl>
    <w:p>
      <w:pPr>
        <w:spacing w:after="0" w:before="80"/>
      </w:pPr>
      <w:r>
        <w:t xml:space="preserve"/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>Scenariul 5 — Stornare comandă facturată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>Pentru o comandă deja facturată (ex: cda 100) se face retur de materiale și storno de manoperă pe o comandă nouă (ex: cda 101). Bonul de retur readuce în stoc articolele facturate.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800"/>
        <w:gridCol w:w="3800"/>
      </w:tblGrid>
      <w:tr>
        <w:trPr>
          <w:tblHeader/>
        </w:trPr>
        <w:tc>
          <w:tcPr>
            <w:tcW w:type="dxa" w:w="6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Pas</w:t>
            </w:r>
          </w:p>
        </w:tc>
        <w:tc>
          <w:tcPr>
            <w:tcW w:type="dxa" w:w="48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Ce faci</w:t>
            </w:r>
          </w:p>
        </w:tc>
        <w:tc>
          <w:tcPr>
            <w:tcW w:type="dxa" w:w="38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Unde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1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Deschizi o comandă nouă pentru factura storno (cda 101)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Comenzi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2.1 Generare comandă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2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Faci bonul de retur și alegi comanda facturată (cda 100)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ROAGEST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Marfă la preț de achiziție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Consum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Bon de retur de la comanda facturată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3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Cauți articolele după coloana subliniată (lucrarea) — introduci numărul comenzii 100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Tot în bonul de retur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4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Adaugi fiecare articol pe bon (din partea stângă în partea dreaptă) și </w:t>
            </w:r>
            <w:r>
              <w:rPr>
                <w:rFonts w:ascii="Calibri" w:cs="Calibri" w:eastAsia="Calibri" w:hAnsi="Calibri"/>
                <w:b/>
                <w:color w:val="1A1A1A"/>
                <w:sz w:val="20"/>
                <w:szCs w:val="20"/>
              </w:rPr>
              <w:t>schimbi comanda în 101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la fiecare articol adăugat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Tot în bonul de retur, câmpul Lucrare din partea de jos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5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Adaugi manopera cu cantitate negativă pe cda 101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Comenzi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2.2 Normare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6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Validezi manopera, apoi toată comanda 101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Comenzi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2.2 Normare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2.3 Validare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7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Emiți factura storno pe cda 101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Facturare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3.1 Factură comandă</w:t>
            </w:r>
          </w:p>
        </w:tc>
      </w:tr>
    </w:tbl>
    <w:p>
      <w:pPr>
        <w:spacing w:after="0" w:before="80"/>
      </w:pPr>
      <w:r>
        <w:t xml:space="preserve"/>
      </w:r>
    </w:p>
    <w:p>
      <w:pPr>
        <w:spacing w:after="60" w:before="60"/>
      </w:pPr>
      <w:r>
        <w:rPr>
          <w:rFonts w:ascii="Calibri" w:cs="Calibri" w:eastAsia="Calibri" w:hAnsi="Calibri"/>
          <w:b/>
          <w:color w:val="1A1A1A"/>
          <w:sz w:val="22"/>
          <w:szCs w:val="22"/>
        </w:rPr>
        <w:t>Variantă alternativă — XML storno eFactura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(când comanda trebuie refacturată, de exemplu pe alt client):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800"/>
        <w:gridCol w:w="3800"/>
      </w:tblGrid>
      <w:tr>
        <w:trPr>
          <w:tblHeader/>
        </w:trPr>
        <w:tc>
          <w:tcPr>
            <w:tcW w:type="dxa" w:w="6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Pas</w:t>
            </w:r>
          </w:p>
        </w:tc>
        <w:tc>
          <w:tcPr>
            <w:tcW w:type="dxa" w:w="48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Ce faci</w:t>
            </w:r>
          </w:p>
        </w:tc>
        <w:tc>
          <w:tcPr>
            <w:tcW w:type="dxa" w:w="38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Unde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1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Generezi XML-ul storno și îl trimiți în SPV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ROACONT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eFactura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Borderou eFactura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Facturi trimise SPV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Listare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„Generare xml storno și trimitere la ANAF”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2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Ștergi factura inițială din contabilitate — comanda devine din nou facturabilă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ROACONT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3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Schimbi clientul pe comandă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Facturare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3.1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Modificare client/mașină pe comandă</w:t>
            </w:r>
          </w:p>
        </w:tc>
      </w:tr>
      <w:tr>
        <w:tc>
          <w:tcPr>
            <w:tcW w:type="dxa" w:w="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4</w:t>
            </w:r>
          </w:p>
        </w:tc>
        <w:tc>
          <w:tcPr>
            <w:tcW w:type="dxa" w:w="4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>Facturezi din nou comanda</w:t>
            </w:r>
          </w:p>
        </w:tc>
        <w:tc>
          <w:tcPr>
            <w:tcW w:type="dxa" w:w="3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Facturare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→ </w:t>
            </w:r>
            <w:r>
              <w:rPr>
                <w:rFonts w:ascii="Courier New" w:cs="Courier New" w:eastAsia="Courier New" w:hAnsi="Courier New"/>
                <w:b/>
                <w:bCs/>
                <w:color w:val="C0392B"/>
                <w:sz w:val="20"/>
                <w:szCs w:val="20"/>
              </w:rPr>
              <w:t>3.1 Factură comandă</w:t>
            </w:r>
          </w:p>
        </w:tc>
      </w:tr>
    </w:tbl>
    <w:p>
      <w:pPr>
        <w:spacing w:after="0" w:before="80"/>
      </w:pPr>
      <w:r>
        <w:t xml:space="preserve"/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Capcane frecvente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6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E6A817" w:sz="4"/>
              <w:left w:val="single" w:color="E6A817" w:sz="20"/>
              <w:bottom w:val="single" w:color="E6A817" w:sz="4"/>
              <w:right w:val="nil" w:color="FFFFFF" w:sz="0"/>
            </w:tcBorders>
            <w:shd w:fill="FFF8E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Factura finală se emite doar după validarea comenzii.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Comanda trebuie parcursă complet (operații validate + bonuri de consum înregistrate) înainte de facturare. Factura de avans poate fi emisă oricând.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6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E6A817" w:sz="4"/>
              <w:left w:val="single" w:color="E6A817" w:sz="20"/>
              <w:bottom w:val="single" w:color="E6A817" w:sz="4"/>
              <w:right w:val="nil" w:color="FFFFFF" w:sz="0"/>
            </w:tcBorders>
            <w:shd w:fill="FFF8E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Materialele consumate se înregistrează în ROAGEST, nu în ROAAUTO.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Bonul de consum se creează în ROAGEST → Consum → Bon de consum pe lucrări în curs. La creare trebuie selectată obligatoriu comanda aferentă.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6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E6A817" w:sz="4"/>
              <w:left w:val="single" w:color="E6A817" w:sz="20"/>
              <w:bottom w:val="single" w:color="E6A817" w:sz="4"/>
              <w:right w:val="nil" w:color="FFFFFF" w:sz="0"/>
            </w:tcBorders>
            <w:shd w:fill="FFF8E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color w:val="1A1A1A"/>
                <w:sz w:val="22"/>
                <w:szCs w:val="22"/>
              </w:rPr>
              <w:t>La bonul de retur, comanda se schimbă pe fiecare articol.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 La stornare, fiecare articol adăugat pe bonul de retur trebuie trecut pe comanda storno (ex: 101). Dacă rămâne pe comanda facturată, returul nu ajunge pe comanda storno.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6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E6A817" w:sz="4"/>
              <w:left w:val="single" w:color="E6A817" w:sz="20"/>
              <w:bottom w:val="single" w:color="E6A817" w:sz="4"/>
              <w:right w:val="nil" w:color="FFFFFF" w:sz="0"/>
            </w:tcBorders>
            <w:shd w:fill="FFF8E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După validarea comenzii nu mai poți adăuga operații sau materiale.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Verifică că totul este complet înainte de a valida. Această acțiune nu poate fi anulată.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6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E6A817" w:sz="4"/>
              <w:left w:val="single" w:color="E6A817" w:sz="20"/>
              <w:bottom w:val="single" w:color="E6A817" w:sz="4"/>
              <w:right w:val="nil" w:color="FFFFFF" w:sz="0"/>
            </w:tcBorders>
            <w:shd w:fill="FFF8E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Modificarea clientului/mașinii pe o comandă facturată nu este posibilă direct.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Trebuie să ștergi factura, să faci modificarea, apoi să refacturezi.</w:t>
            </w:r>
            <w:r>
              <w:t xml:space="preserve"> Dacă factura a fost deja trimisă în SPV, generezi întâi XML-ul storno din ROACONT (vezi Scenariul 5, varianta alternativă).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6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E6A817" w:sz="4"/>
              <w:left w:val="single" w:color="E6A817" w:sz="20"/>
              <w:bottom w:val="single" w:color="E6A817" w:sz="4"/>
              <w:right w:val="nil" w:color="FFFFFF" w:sz="0"/>
            </w:tcBorders>
            <w:shd w:fill="FFF8E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Articolele suplimentare de pe factură trebuie să aibă bifa pret de catalog activată.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Această bifă se setează în nomenclatorul de articole din ROAGEST, nu în formularul de facturare.</w:t>
            </w:r>
          </w:p>
        </w:tc>
      </w:tr>
    </w:tbl>
    <w:p>
      <w:pPr>
        <w:pStyle w:val="Heading1"/>
        <w:pBdr>
          <w:bottom w:val="single" w:color="2E5FA3" w:sz="8" w:space="4"/>
        </w:pBdr>
        <w:spacing w:after="120" w:before="480"/>
      </w:pPr>
      <w:r>
        <w:rPr>
          <w:rFonts w:ascii="Calibri" w:cs="Calibri" w:eastAsia="Calibri" w:hAnsi="Calibri"/>
          <w:b/>
          <w:bCs/>
          <w:color w:val="2E5FA3"/>
          <w:sz w:val="36"/>
          <w:szCs w:val="36"/>
        </w:rPr>
        <w:t xml:space="preserve">Fluxul de lucru — Privire de ansamblu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4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0F0F0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[1] Generare comandă</w:t>
            </w:r>
          </w:p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        ↓</w:t>
            </w:r>
          </w:p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[2] Normare: operații + repartizare mecanici</w:t>
            </w:r>
          </w:p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        ↓</w:t>
            </w:r>
          </w:p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[3] Înregistrare consum materiale (în ROAGEST)</w:t>
            </w:r>
          </w:p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        ↓</w:t>
            </w:r>
          </w:p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[4] Verificare și validare deviz</w:t>
            </w:r>
          </w:p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        ↓</w:t>
            </w:r>
          </w:p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[5] Emitere deviz și facturare</w:t>
            </w:r>
          </w:p>
        </w:tc>
      </w:tr>
    </w:tbl>
    <w:p>
      <w:pPr>
        <w:spacing w:after="0" w:before="80"/>
      </w:pPr>
      <w:r>
        <w:t xml:space="preserve"/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Facturile pot fi de avans și/sau finale. O factură finală poate acoperi mai multe comenzi ale aceluiași client.</w:t>
      </w:r>
    </w:p>
    <w:p>
      <w:pPr>
        <w:pStyle w:val="Heading1"/>
        <w:pBdr>
          <w:bottom w:val="single" w:color="2E5FA3" w:sz="8" w:space="4"/>
        </w:pBdr>
        <w:spacing w:after="120" w:before="480"/>
      </w:pPr>
      <w:r>
        <w:rPr>
          <w:rFonts w:ascii="Calibri" w:cs="Calibri" w:eastAsia="Calibri" w:hAnsi="Calibri"/>
          <w:b/>
          <w:bCs/>
          <w:color w:val="2E5FA3"/>
          <w:sz w:val="36"/>
          <w:szCs w:val="36"/>
        </w:rPr>
        <w:t xml:space="preserve">Pagina 1 — Configurare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Înainte de a începe lucrul, asigurați-vă că datele de bază sunt completate în această secțiune.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Date de bază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000"/>
      </w:tblGrid>
      <w:tr>
        <w:trPr>
          <w:tblHeader/>
        </w:trPr>
        <w:tc>
          <w:tcPr>
            <w:tcW w:type="dxa" w:w="22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Element</w:t>
            </w:r>
          </w:p>
        </w:tc>
        <w:tc>
          <w:tcPr>
            <w:tcW w:type="dxa" w:w="70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Descriere</w:t>
            </w:r>
          </w:p>
        </w:tc>
      </w:tr>
      <w:tr>
        <w:tc>
          <w:tcPr>
            <w:tcW w:type="dxa" w:w="2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Clienți</w:t>
            </w:r>
          </w:p>
        </w:tc>
        <w:tc>
          <w:tcPr>
            <w:tcW w:type="dxa" w:w="7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Listă clienți cu datele lor și vehiculele asociate. Un client trebuie să aibă cel puțin o mașină asociată.</w:t>
            </w:r>
          </w:p>
        </w:tc>
      </w:tr>
      <w:tr>
        <w:tc>
          <w:tcPr>
            <w:tcW w:type="dxa" w:w="2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Mecanici</w:t>
            </w:r>
          </w:p>
        </w:tc>
        <w:tc>
          <w:tcPr>
            <w:tcW w:type="dxa" w:w="7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Listă mecanici</w:t>
            </w:r>
          </w:p>
        </w:tc>
      </w:tr>
      <w:tr>
        <w:tc>
          <w:tcPr>
            <w:tcW w:type="dxa" w:w="2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Secții</w:t>
            </w:r>
          </w:p>
        </w:tc>
        <w:tc>
          <w:tcPr>
            <w:tcW w:type="dxa" w:w="7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Secții / centre de cost</w:t>
            </w:r>
          </w:p>
        </w:tc>
      </w:tr>
      <w:tr>
        <w:tc>
          <w:tcPr>
            <w:tcW w:type="dxa" w:w="2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Asigurători</w:t>
            </w:r>
          </w:p>
        </w:tc>
        <w:tc>
          <w:tcPr>
            <w:tcW w:type="dxa" w:w="7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Listă asigurători și inspectori</w:t>
            </w:r>
          </w:p>
        </w:tc>
      </w:tr>
      <w:tr>
        <w:tc>
          <w:tcPr>
            <w:tcW w:type="dxa" w:w="2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Mărci mașini</w:t>
            </w:r>
          </w:p>
        </w:tc>
        <w:tc>
          <w:tcPr>
            <w:tcW w:type="dxa" w:w="7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Mărci și modele de autovehicule</w:t>
            </w:r>
          </w:p>
        </w:tc>
      </w:tr>
      <w:tr>
        <w:tc>
          <w:tcPr>
            <w:tcW w:type="dxa" w:w="2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Dealeri</w:t>
            </w:r>
          </w:p>
        </w:tc>
        <w:tc>
          <w:tcPr>
            <w:tcW w:type="dxa" w:w="7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Listă dealeri</w:t>
            </w:r>
          </w:p>
        </w:tc>
      </w:tr>
      <w:tr>
        <w:tc>
          <w:tcPr>
            <w:tcW w:type="dxa" w:w="2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Delegați</w:t>
            </w:r>
          </w:p>
        </w:tc>
        <w:tc>
          <w:tcPr>
            <w:tcW w:type="dxa" w:w="7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Delegați pentru facturi</w:t>
            </w:r>
          </w:p>
        </w:tc>
      </w:tr>
      <w:tr>
        <w:tc>
          <w:tcPr>
            <w:tcW w:type="dxa" w:w="2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Ansamble</w:t>
            </w:r>
          </w:p>
        </w:tc>
        <w:tc>
          <w:tcPr>
            <w:tcW w:type="dxa" w:w="7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Ansamble vehicule — utilizate la normative</w:t>
            </w:r>
          </w:p>
        </w:tc>
      </w:tr>
      <w:tr>
        <w:tc>
          <w:tcPr>
            <w:tcW w:type="dxa" w:w="2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Norme</w:t>
            </w:r>
          </w:p>
        </w:tc>
        <w:tc>
          <w:tcPr>
            <w:tcW w:type="dxa" w:w="7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Normative operații service (furnizate cu programul, pot fi completate de utilizator)</w:t>
            </w:r>
          </w:p>
        </w:tc>
      </w:tr>
      <w:tr>
        <w:tc>
          <w:tcPr>
            <w:tcW w:type="dxa" w:w="2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Prețuri</w:t>
            </w:r>
          </w:p>
        </w:tc>
        <w:tc>
          <w:tcPr>
            <w:tcW w:type="dxa" w:w="7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Listă prețuri service</w:t>
            </w:r>
          </w:p>
        </w:tc>
      </w:tr>
      <w:tr>
        <w:tc>
          <w:tcPr>
            <w:tcW w:type="dxa" w:w="2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Serii numere</w:t>
            </w:r>
          </w:p>
        </w:tc>
        <w:tc>
          <w:tcPr>
            <w:tcW w:type="dxa" w:w="7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Plaje de numere pentru comenzi, facturi, bonuri fiscale, chitanțe</w:t>
            </w:r>
          </w:p>
        </w:tc>
      </w:tr>
    </w:tbl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Opțiuni</w:t>
      </w:r>
    </w:p>
    <w:p>
      <w:pPr>
        <w:spacing w:after="60" w:before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I. Setări comenzi și facturare —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Setări facturare ITP (secția). Conturi contabile: </w:t>
      </w:r>
      <w:r>
        <w:rPr>
          <w:rFonts w:ascii="Courier New" w:cs="Courier New" w:eastAsia="Courier New" w:hAnsi="Courier New"/>
          <w:b/>
          <w:bCs/>
          <w:color w:val="C0392B"/>
          <w:sz w:val="20"/>
          <w:szCs w:val="20"/>
        </w:rPr>
        <w:t xml:space="preserve">419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Clienți creditori, </w:t>
      </w:r>
      <w:r>
        <w:rPr>
          <w:rFonts w:ascii="Courier New" w:cs="Courier New" w:eastAsia="Courier New" w:hAnsi="Courier New"/>
          <w:b/>
          <w:bCs/>
          <w:color w:val="C0392B"/>
          <w:sz w:val="20"/>
          <w:szCs w:val="20"/>
        </w:rPr>
        <w:t xml:space="preserve">707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Venituri vânzare mărfuri, </w:t>
      </w:r>
      <w:r>
        <w:rPr>
          <w:rFonts w:ascii="Courier New" w:cs="Courier New" w:eastAsia="Courier New" w:hAnsi="Courier New"/>
          <w:b/>
          <w:bCs/>
          <w:color w:val="C0392B"/>
          <w:sz w:val="20"/>
          <w:szCs w:val="20"/>
        </w:rPr>
        <w:t xml:space="preserve">4111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Clienți, </w:t>
      </w:r>
      <w:r>
        <w:rPr>
          <w:rFonts w:ascii="Courier New" w:cs="Courier New" w:eastAsia="Courier New" w:hAnsi="Courier New"/>
          <w:b/>
          <w:bCs/>
          <w:color w:val="C0392B"/>
          <w:sz w:val="20"/>
          <w:szCs w:val="20"/>
        </w:rPr>
        <w:t xml:space="preserve">667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Cheltuieli sconturi acordate.</w:t>
      </w:r>
    </w:p>
    <w:p>
      <w:pPr>
        <w:spacing w:after="60" w:before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II. Setări manoperă —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Prețul manoperei / regie.</w:t>
      </w:r>
    </w:p>
    <w:p>
      <w:pPr>
        <w:spacing w:after="60" w:before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III. Setări listare facturare —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Datele care apar pe factură și aspectul vizual.</w:t>
      </w:r>
    </w:p>
    <w:p>
      <w:pPr>
        <w:pStyle w:val="Heading1"/>
        <w:pBdr>
          <w:bottom w:val="single" w:color="2E5FA3" w:sz="8" w:space="4"/>
        </w:pBdr>
        <w:spacing w:after="120" w:before="480"/>
      </w:pPr>
      <w:r>
        <w:rPr>
          <w:rFonts w:ascii="Calibri" w:cs="Calibri" w:eastAsia="Calibri" w:hAnsi="Calibri"/>
          <w:b/>
          <w:bCs/>
          <w:color w:val="2E5FA3"/>
          <w:sz w:val="36"/>
          <w:szCs w:val="36"/>
        </w:rPr>
        <w:t xml:space="preserve">Pagina 2 — Comenzi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2.1 Generare comandă nouă</w:t>
      </w:r>
    </w:p>
    <w:p>
      <w:pPr>
        <w:spacing w:after="40" w:before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1.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Deschideți o comandă nouă</w:t>
      </w:r>
    </w:p>
    <w:p>
      <w:pPr>
        <w:spacing w:after="40" w:before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2. 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Alegeți tipul comenzii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(vezi tabelul de mai jos)</w:t>
      </w:r>
    </w:p>
    <w:p>
      <w:pPr>
        <w:spacing w:after="40" w:before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3. 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Selectați clientul și vehiculul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— formularul permite și adăugarea unui client nou, a unei mașini noi sau a unei mașini noi la un client existent</w:t>
      </w:r>
    </w:p>
    <w:p>
      <w:pPr>
        <w:spacing w:after="40" w:before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4. 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Completați operațiile solicitate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de client</w:t>
      </w:r>
    </w:p>
    <w:p>
      <w:pPr>
        <w:spacing w:after="40" w:before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5.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Completați opțional: observații, daune constatate, număr km, ore funcționare, asigurător</w:t>
      </w:r>
    </w:p>
    <w:p>
      <w:pPr>
        <w:spacing w:after="0" w:before="80"/>
      </w:pPr>
      <w:r>
        <w:t xml:space="preserve"/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444444"/>
          <w:sz w:val="22"/>
          <w:szCs w:val="22"/>
        </w:rPr>
        <w:t xml:space="preserve">Tipuri de comenzi și modul de închidere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400"/>
      </w:tblGrid>
      <w:tr>
        <w:trPr>
          <w:tblHeader/>
        </w:trPr>
        <w:tc>
          <w:tcPr>
            <w:tcW w:type="dxa" w:w="28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Tip comandă</w:t>
            </w:r>
          </w:p>
        </w:tc>
        <w:tc>
          <w:tcPr>
            <w:tcW w:type="dxa" w:w="64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Închidere prin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Post-garanție</w:t>
            </w:r>
          </w:p>
        </w:tc>
        <w:tc>
          <w:tcPr>
            <w:tcW w:type="dxa" w:w="6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Factură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În garanție</w:t>
            </w:r>
          </w:p>
        </w:tc>
        <w:tc>
          <w:tcPr>
            <w:tcW w:type="dxa" w:w="6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Factură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Regie</w:t>
            </w:r>
          </w:p>
        </w:tc>
        <w:tc>
          <w:tcPr>
            <w:tcW w:type="dxa" w:w="6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Validare sau operație de închidere (sect. 3.5) — în funcție de configurarea bazei de date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Producție</w:t>
            </w:r>
          </w:p>
        </w:tc>
        <w:tc>
          <w:tcPr>
            <w:tcW w:type="dxa" w:w="6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Validare sau operație de închidere (sect. 3.7) — în funcție de configurarea bazei de date</w:t>
            </w:r>
          </w:p>
        </w:tc>
      </w:tr>
    </w:tbl>
    <w:p>
      <w:pPr>
        <w:spacing w:after="80" w:before="4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Tipul de comandă Pregătire există în program — utilizarea sa urmează a fi documentată.</w:t>
      </w:r>
    </w:p>
    <w:p>
      <w:pPr>
        <w:spacing w:after="0" w:before="6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6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2E5FA3" w:sz="4"/>
              <w:left w:val="single" w:color="2E5FA3" w:sz="20"/>
              <w:bottom w:val="single" w:color="2E5FA3" w:sz="4"/>
              <w:right w:val="nil" w:color="FFFFFF" w:sz="0"/>
            </w:tcBorders>
            <w:shd w:fill="EBF0FA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Bonuri de consum: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Materialele consumate nu se adaugă în ROAAUTO, ci în ROAGEST → Mărfuri la preț de achiziție → Consum → Bon de consum pe lucrări în curs de execuție. La creare se selectează obligatoriu comanda aferentă.</w:t>
            </w:r>
          </w:p>
        </w:tc>
      </w:tr>
    </w:tbl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2.2 Normare comandă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Scopul normării este atribuirea operațiilor de manoperă, repartizarea pe mecanici și estimarea valorii devizului.</w:t>
      </w:r>
    </w:p>
    <w:p>
      <w:pPr>
        <w:spacing w:after="40" w:before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1.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Selectați comanda</w:t>
      </w:r>
    </w:p>
    <w:p>
      <w:pPr>
        <w:spacing w:after="40" w:before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2.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Apăsați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Normare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→ se deschide formularul Vizualizare operatii</w:t>
      </w:r>
    </w:p>
    <w:p>
      <w:pPr>
        <w:spacing w:after="0" w:before="80"/>
      </w:pPr>
      <w:r>
        <w:t xml:space="preserve"/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444444"/>
          <w:sz w:val="22"/>
          <w:szCs w:val="22"/>
        </w:rPr>
        <w:t xml:space="preserve">Formularul conține 3 ferestre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800"/>
      </w:tblGrid>
      <w:tr>
        <w:trPr>
          <w:tblHeader/>
        </w:trPr>
        <w:tc>
          <w:tcPr>
            <w:tcW w:type="dxa" w:w="24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Fereastră</w:t>
            </w:r>
          </w:p>
        </w:tc>
        <w:tc>
          <w:tcPr>
            <w:tcW w:type="dxa" w:w="68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Ce puteți face</w:t>
            </w:r>
          </w:p>
        </w:tc>
      </w:tr>
      <w:tr>
        <w:tc>
          <w:tcPr>
            <w:tcW w:type="dxa" w:w="2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Manoperă</w:t>
            </w:r>
          </w:p>
        </w:tc>
        <w:tc>
          <w:tcPr>
            <w:tcW w:type="dxa" w:w="6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Adăugare, modificare, ștergere și validare operații individuale</w:t>
            </w:r>
          </w:p>
        </w:tc>
      </w:tr>
      <w:tr>
        <w:tc>
          <w:tcPr>
            <w:tcW w:type="dxa" w:w="2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Materiale</w:t>
            </w:r>
          </w:p>
        </w:tc>
        <w:tc>
          <w:tcPr>
            <w:tcW w:type="dxa" w:w="6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Vizualizare materiale înregistrate pe comandă (din ROAGEST)</w:t>
            </w:r>
          </w:p>
        </w:tc>
      </w:tr>
      <w:tr>
        <w:tc>
          <w:tcPr>
            <w:tcW w:type="dxa" w:w="2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Deviz estimativ</w:t>
            </w:r>
          </w:p>
        </w:tc>
        <w:tc>
          <w:tcPr>
            <w:tcW w:type="dxa" w:w="6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Adăugare operații și articole pentru estimarea valorii comenzii; listare deviz estimativ</w:t>
            </w:r>
          </w:p>
        </w:tc>
      </w:tr>
    </w:tbl>
    <w:p>
      <w:pPr>
        <w:spacing w:after="0" w:before="80"/>
      </w:pPr>
      <w:r>
        <w:t xml:space="preserve"/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Din formularul de normare se pot modifica și datele inițiale ale comenzii (tip comandă, nr. km, ore funcționare), inclusiv corectarea tipului de comandă introdus greșit.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La adăugarea unei operații se selectează mecanicii și se alege prețul/oră din lista configurată. După adăugare, numărul de ore și prețul/oră pot fi editate direct în lista de operații.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2.3 Validare comandă</w:t>
      </w:r>
    </w:p>
    <w:p>
      <w:pPr>
        <w:spacing w:after="40" w:before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1.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Validați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toate operațiile individuale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din Normare (fereastra Manoperă)</w:t>
      </w:r>
    </w:p>
    <w:p>
      <w:pPr>
        <w:spacing w:after="40" w:before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2.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Înregistrați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toate bonurile de consum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în ROAGEST</w:t>
      </w:r>
    </w:p>
    <w:p>
      <w:pPr>
        <w:spacing w:after="40" w:before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3.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Selectați comanda și apăsați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Validare</w:t>
      </w:r>
    </w:p>
    <w:p>
      <w:pPr>
        <w:spacing w:after="0" w:before="8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6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E6A817" w:sz="4"/>
              <w:left w:val="single" w:color="E6A817" w:sz="20"/>
              <w:bottom w:val="single" w:color="E6A817" w:sz="4"/>
              <w:right w:val="nil" w:color="FFFFFF" w:sz="0"/>
            </w:tcBorders>
            <w:shd w:fill="FFF8E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Atenție: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După validare nu mai pot fi adăugate operații sau bonuri de consum.</w:t>
            </w:r>
          </w:p>
        </w:tc>
      </w:tr>
    </w:tbl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2.4 Vizualizare stocuri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Vizualizare gestiuni la preț de achiziție sau preț de vânzare.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2.5 Comenzi în luna curentă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Vizualizare și listare comenzi / devize pentru comenzile validate. Vizualizare operațiuni validate/nevalidate per comandă. Modificările nu sunt posibile din această fereastră.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2.6 Istoric comenzi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Vizualizare și listare pentru toate comenzile, indiferent dacă sunt închise sau nu. Modificările nu sunt posibile din această fereastră.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2.7 Vizualizare date comenzi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Raport complet clienți → comenzi → operații / materiale. Listă istoric: comenzi – clienți – mașini – manoperă – materiale.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2.8 Rapoarte comenzi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Vizualizare comenzi, listare deviz și raport (solicitări client, observații, defecțiuni constatate).</w:t>
      </w:r>
    </w:p>
    <w:p>
      <w:pPr>
        <w:pStyle w:val="Heading1"/>
        <w:pBdr>
          <w:bottom w:val="single" w:color="2E5FA3" w:sz="8" w:space="4"/>
        </w:pBdr>
        <w:spacing w:after="120" w:before="480"/>
      </w:pPr>
      <w:r>
        <w:rPr>
          <w:rFonts w:ascii="Calibri" w:cs="Calibri" w:eastAsia="Calibri" w:hAnsi="Calibri"/>
          <w:b/>
          <w:bCs/>
          <w:color w:val="2E5FA3"/>
          <w:sz w:val="36"/>
          <w:szCs w:val="36"/>
        </w:rPr>
        <w:t xml:space="preserve">Pagina 3 — Facturare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3.1 Factură comandă (deviz)</w:t>
      </w:r>
    </w:p>
    <w:p>
      <w:pPr>
        <w:spacing w:after="60" w:before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Factură de avans —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se poate emite oricând după generarea comenzii, chiar dacă aceasta nu a fost validată.</w:t>
      </w:r>
    </w:p>
    <w:p>
      <w:pPr>
        <w:spacing w:after="60" w:before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Factură finală —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se poate emite pentru una sau mai multe comenzi ale aceluiași client. Conține valoarea manoperei + materialelor + avansul (dacă există). Se pot adăuga articole suplimentare (ex: refacturare transport, verificări de terți) direct din formularul de facturare — acestea trebuie să aibă bifa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pret de catalog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activată în nomenclatorul de articole din ROAGEST.</w:t>
      </w:r>
    </w:p>
    <w:p>
      <w:pPr>
        <w:spacing w:after="0" w:before="80"/>
      </w:pPr>
      <w:r>
        <w:t xml:space="preserve"/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444444"/>
          <w:sz w:val="22"/>
          <w:szCs w:val="22"/>
        </w:rPr>
        <w:t xml:space="preserve">Modalități de încasare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000"/>
      </w:tblGrid>
      <w:tr>
        <w:trPr>
          <w:tblHeader/>
        </w:trPr>
        <w:tc>
          <w:tcPr>
            <w:tcW w:type="dxa" w:w="32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Opțiune</w:t>
            </w:r>
          </w:p>
        </w:tc>
        <w:tc>
          <w:tcPr>
            <w:tcW w:type="dxa" w:w="60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Descriere</w:t>
            </w:r>
          </w:p>
        </w:tc>
      </w:tr>
      <w:tr>
        <w:tc>
          <w:tcPr>
            <w:tcW w:type="dxa" w:w="3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Fără încasare</w:t>
            </w:r>
          </w:p>
        </w:tc>
        <w:tc>
          <w:tcPr>
            <w:tcW w:type="dxa" w:w="6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Urmează încasarea ulterior</w:t>
            </w:r>
          </w:p>
        </w:tc>
      </w:tr>
      <w:tr>
        <w:tc>
          <w:tcPr>
            <w:tcW w:type="dxa" w:w="3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Bon fiscal numerar sau card</w:t>
            </w:r>
          </w:p>
        </w:tc>
        <w:tc>
          <w:tcPr>
            <w:tcW w:type="dxa" w:w="6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Încasare prin casă de marcat</w:t>
            </w:r>
          </w:p>
        </w:tc>
      </w:tr>
      <w:tr>
        <w:tc>
          <w:tcPr>
            <w:tcW w:type="dxa" w:w="32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Chitanță</w:t>
            </w:r>
          </w:p>
        </w:tc>
        <w:tc>
          <w:tcPr>
            <w:tcW w:type="dxa" w:w="60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Încasare prin chitanță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6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2E5FA3" w:sz="4"/>
              <w:left w:val="single" w:color="2E5FA3" w:sz="20"/>
              <w:bottom w:val="single" w:color="2E5FA3" w:sz="4"/>
              <w:right w:val="nil" w:color="FFFFFF" w:sz="0"/>
            </w:tcBorders>
            <w:shd w:fill="EBF0FA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Modificare client/mașină —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posibilă prin Modificare client/masina pe comanda, doar dacă comanda nu a fost facturată. Dacă există factură: ștergeți factura → modificați → refacturați.</w:t>
            </w:r>
          </w:p>
        </w:tc>
      </w:tr>
    </w:tbl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3.2 Facturare ITP / Spălare auto / Factură diverse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Flux rapid pentru comenzi cu o singură operație de manoperă și fără materiale. Programul deschide automat comanda, adaugă operația și trece direct în facturare. Setările se preiau din Configurare.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3.4 Facturi în luna curentă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Vizualizare facturi finalizate. Posibilitate relistare factură și listare raport facturi.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3.5 Închidere comenzi de regie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Vizualizare și închidere comenzi de regie. Listare deviz pentru comenzile cu manoperă.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Modul de închidere depinde de configurarea bazei de date: prin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validare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sau prin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operația de închidere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din această secțiune. Configurarea se face la nivel de bază de date — contactați administratorul de sistem.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4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0F0F0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Informație tehnică (administrator): id_set = 31006</w:t>
            </w:r>
          </w:p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6588 = 482  — valoare totală pe fiecare secție (câte o notă per secție: tinichigerie, mecanică etc.)</w:t>
            </w:r>
          </w:p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6588 = 482  — valoare totală globală (notele per secție și cea globală se anulează reciproc — efect net zero)</w:t>
            </w:r>
          </w:p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711  = 332  — valoare materiale consumate (singurul cu efect contabil real)</w:t>
            </w:r>
          </w:p>
        </w:tc>
      </w:tr>
    </w:tbl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3.6 Comenzi de regie în luna curentă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Vizualizare comenzi de regie în curs de finalizare în luna curentă.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3.7 Închidere comenzi de producție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Închidere comandă de producție și listare deviz. Modul de închidere depinde de configurarea bazei de date: prin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validare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sau prin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operația de închidere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din această secțiune.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4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0F0F0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Informație tehnică (administrator): id_set = 31007</w:t>
            </w:r>
          </w:p>
          <w:p>
            <w:pPr>
              <w:spacing w:after="20" w:before="20"/>
            </w:pPr>
            <w:r>
              <w:rPr>
                <w:rFonts w:ascii="Courier New" w:cs="Courier New" w:eastAsia="Courier New" w:hAnsi="Courier New"/>
                <w:color w:val="333333"/>
                <w:sz w:val="18"/>
                <w:szCs w:val="18"/>
              </w:rPr>
              <w:t xml:space="preserve">711 = 332  — valoare materiale consumate pe lucrare</w:t>
            </w:r>
          </w:p>
        </w:tc>
      </w:tr>
    </w:tbl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3.8 Rapoarte facturare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Vizualizare și listare: rapoarte pe asigurători, facturi emise, facturi ITP / spălare, facturi finale, validare mărci.</w:t>
      </w:r>
    </w:p>
    <w:p>
      <w:pPr>
        <w:pStyle w:val="Heading1"/>
        <w:pBdr>
          <w:bottom w:val="single" w:color="2E5FA3" w:sz="8" w:space="4"/>
        </w:pBdr>
        <w:spacing w:after="120" w:before="480"/>
      </w:pPr>
      <w:r>
        <w:rPr>
          <w:rFonts w:ascii="Calibri" w:cs="Calibri" w:eastAsia="Calibri" w:hAnsi="Calibri"/>
          <w:b/>
          <w:bCs/>
          <w:color w:val="2E5FA3"/>
          <w:sz w:val="36"/>
          <w:szCs w:val="36"/>
        </w:rPr>
        <w:t xml:space="preserve">Pagina 4 — Manoperă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Distribuirea și urmărirea manoperei pe mecanici, operații și secții.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4.1 Manoperă luna curentă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Vizualizare lucrări în curs. Editare și distribuire timp normat pe mecanici, secții și operații.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4.2 Manoperă comenzi închise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Vizualizare lucrări închise în luna curentă. Editare și distribuire timp normat pe mecanici, secții și operații.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4.3 Raport de salarizare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Listare rapoarte de salarizare manoperă pentru personalul direct productiv.</w:t>
      </w:r>
    </w:p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4.4 Rapoarte manoperă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Rapoarte pentru unul sau mai mulți mecanici și pentru firmele de asigurare (ore + prețuri).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60"/>
          <w:bottom w:type="dxa" w:w="60"/>
        </w:tblCellMar>
      </w:tblPr>
      <w:tblGrid>
        <w:gridCol w:w="100"/>
      </w:tblGrid>
      <w:tr>
        <w:tc>
          <w:tcPr>
            <w:tcW w:type="dxa" w:w="9200"/>
            <w:tcBorders>
              <w:top w:val="single" w:color="E6A817" w:sz="4"/>
              <w:left w:val="single" w:color="E6A817" w:sz="20"/>
              <w:bottom w:val="single" w:color="E6A817" w:sz="4"/>
              <w:right w:val="nil" w:color="FFFFFF" w:sz="0"/>
            </w:tcBorders>
            <w:shd w:fill="FFF8E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Atenție: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Dacă 2 mecanici lucrează pe aceeași operație, orele trebuie distribuite individual — fiecare primește doar orele proprii efectiv lucrate.</w:t>
            </w:r>
          </w:p>
        </w:tc>
      </w:tr>
    </w:tbl>
    <w:p>
      <w:pPr>
        <w:pStyle w:val="Heading2"/>
        <w:spacing w:after="80" w:before="2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 xml:space="preserve">4.5 Ore de manoperă pe asigurători</w:t>
      </w:r>
    </w:p>
    <w:p>
      <w:pPr>
        <w:spacing w:after="6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Număr de ore per asigurător, filtrat pe luna curentă sau o perioadă specificată.</w:t>
      </w:r>
    </w:p>
    <w:p>
      <w:pPr>
        <w:pStyle w:val="Heading1"/>
        <w:pBdr>
          <w:bottom w:val="single" w:color="2E5FA3" w:sz="8" w:space="4"/>
        </w:pBdr>
        <w:spacing w:after="120" w:before="480"/>
      </w:pPr>
      <w:r>
        <w:rPr>
          <w:rFonts w:ascii="Calibri" w:cs="Calibri" w:eastAsia="Calibri" w:hAnsi="Calibri"/>
          <w:b/>
          <w:bCs/>
          <w:color w:val="2E5FA3"/>
          <w:sz w:val="36"/>
          <w:szCs w:val="36"/>
        </w:rPr>
        <w:t xml:space="preserve">Pagina 5 — Analiză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600"/>
      </w:tblGrid>
      <w:tr>
        <w:trPr>
          <w:tblHeader/>
        </w:trPr>
        <w:tc>
          <w:tcPr>
            <w:tcW w:type="dxa" w:w="36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Raport</w:t>
            </w:r>
          </w:p>
        </w:tc>
        <w:tc>
          <w:tcPr>
            <w:tcW w:type="dxa" w:w="56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Descriere</w:t>
            </w:r>
          </w:p>
        </w:tc>
      </w:tr>
      <w:tr>
        <w:tc>
          <w:tcPr>
            <w:tcW w:type="dxa" w:w="3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Verificări venituri</w:t>
            </w:r>
          </w:p>
        </w:tc>
        <w:tc>
          <w:tcPr>
            <w:tcW w:type="dxa" w:w="5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Venituri pe lucrări față de contabilitate</w:t>
            </w:r>
          </w:p>
        </w:tc>
      </w:tr>
      <w:tr>
        <w:tc>
          <w:tcPr>
            <w:tcW w:type="dxa" w:w="3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Raport articole pe comenzi</w:t>
            </w:r>
          </w:p>
        </w:tc>
        <w:tc>
          <w:tcPr>
            <w:tcW w:type="dxa" w:w="5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Detaliu articole per comandă</w:t>
            </w:r>
          </w:p>
        </w:tc>
      </w:tr>
      <w:tr>
        <w:tc>
          <w:tcPr>
            <w:tcW w:type="dxa" w:w="3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Raport producție neterminată</w:t>
            </w:r>
          </w:p>
        </w:tc>
        <w:tc>
          <w:tcPr>
            <w:tcW w:type="dxa" w:w="5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Comenzi deschise / nefacturate</w:t>
            </w:r>
          </w:p>
        </w:tc>
      </w:tr>
      <w:tr>
        <w:tc>
          <w:tcPr>
            <w:tcW w:type="dxa" w:w="3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Centralizator comenzi pe tipuri</w:t>
            </w:r>
          </w:p>
        </w:tc>
        <w:tc>
          <w:tcPr>
            <w:tcW w:type="dxa" w:w="56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Situație globală pe tipuri de comenzi</w:t>
            </w:r>
          </w:p>
        </w:tc>
      </w:tr>
    </w:tbl>
    <w:p>
      <w:pPr>
        <w:pStyle w:val="Heading1"/>
        <w:pBdr>
          <w:bottom w:val="single" w:color="2E5FA3" w:sz="8" w:space="4"/>
        </w:pBdr>
        <w:spacing w:after="120" w:before="480"/>
      </w:pPr>
      <w:r>
        <w:rPr>
          <w:rFonts w:ascii="Calibri" w:cs="Calibri" w:eastAsia="Calibri" w:hAnsi="Calibri"/>
          <w:b/>
          <w:bCs/>
          <w:color w:val="2E5FA3"/>
          <w:sz w:val="36"/>
          <w:szCs w:val="36"/>
        </w:rPr>
        <w:t xml:space="preserve">Rapoarte disponibile — Rezumat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400"/>
      </w:tblGrid>
      <w:tr>
        <w:trPr>
          <w:tblHeader/>
        </w:trPr>
        <w:tc>
          <w:tcPr>
            <w:tcW w:type="dxa" w:w="28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Categorie</w:t>
            </w:r>
          </w:p>
        </w:tc>
        <w:tc>
          <w:tcPr>
            <w:tcW w:type="dxa" w:w="6400"/>
            <w:tcBorders>
              <w:top w:val="single" w:color="ADBCE8" w:sz="4"/>
              <w:left w:val="single" w:color="ADBCE8" w:sz="4"/>
              <w:bottom w:val="single" w:color="ADBCE8" w:sz="4"/>
              <w:right w:val="single" w:color="ADBCE8" w:sz="4"/>
            </w:tcBorders>
            <w:shd w:fill="2E5FA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Rapoarte disponibile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Facturare</w:t>
            </w:r>
          </w:p>
        </w:tc>
        <w:tc>
          <w:tcPr>
            <w:tcW w:type="dxa" w:w="6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Facturi emise pe lună, pe clienți, pe asigurători, ITP, spălare, pe secții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Articole / stocuri</w:t>
            </w:r>
          </w:p>
        </w:tc>
        <w:tc>
          <w:tcPr>
            <w:tcW w:type="dxa" w:w="6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Preț vânzare, bucăți per comandă, stoc inițial/final, intrări/ieșiri lunare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Producție neterminată</w:t>
            </w:r>
          </w:p>
        </w:tc>
        <w:tc>
          <w:tcPr>
            <w:tcW w:type="dxa" w:w="6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Bonuri materiale pe comenzi, pe responsabili, pe secții; valori materiale nefacturate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Manoperă</w:t>
            </w:r>
          </w:p>
        </w:tc>
        <w:tc>
          <w:tcPr>
            <w:tcW w:type="dxa" w:w="6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Total manoperă, detaliat pe comenzi/operații/mecanici, pe comenzi închise pe secție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Asigurători</w:t>
            </w:r>
          </w:p>
        </w:tc>
        <w:tc>
          <w:tcPr>
            <w:tcW w:type="dxa" w:w="6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Ore manoperă per asigurător pe perioadă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Salarizare</w:t>
            </w:r>
          </w:p>
        </w:tc>
        <w:tc>
          <w:tcPr>
            <w:tcW w:type="dxa" w:w="6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Salarizare personal direct productiv pe baza operațiunilor executate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Venituri</w:t>
            </w:r>
          </w:p>
        </w:tc>
        <w:tc>
          <w:tcPr>
            <w:tcW w:type="dxa" w:w="6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Verificare venituri din manoperă și materiale</w:t>
            </w:r>
          </w:p>
        </w:tc>
      </w:tr>
      <w:tr>
        <w:tc>
          <w:tcPr>
            <w:tcW w:type="dxa" w:w="28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Comenzi</w:t>
            </w:r>
          </w:p>
        </w:tc>
        <w:tc>
          <w:tcPr>
            <w:tcW w:type="dxa" w:w="6400"/>
            <w:tcBorders>
              <w:top w:val="single" w:color="D0D7E8" w:sz="4"/>
              <w:left w:val="single" w:color="D0D7E8" w:sz="4"/>
              <w:bottom w:val="single" w:color="D0D7E8" w:sz="4"/>
              <w:right w:val="single" w:color="D0D7E8" w:sz="4"/>
            </w:tcBorders>
            <w:shd w:fill="F2F4F8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Comenzi validate pe mărci, centralizatoare, facturare automată devize</w:t>
            </w:r>
          </w:p>
        </w:tc>
      </w:tr>
    </w:tbl>
    <w:p>
      <w:pPr>
        <w:spacing w:after="0" w:before="200"/>
      </w:pPr>
      <w:r>
        <w:t xml:space="preserve"/>
      </w:r>
    </w:p>
    <w:p>
      <w:pPr>
        <w:pBdr>
          <w:bottom w:val="single" w:sz="8" w:space="4" w:color="2E5FA3"/>
        </w:pBdr>
        <w:spacing w:before="480" w:after="120"/>
      </w:pPr>
      <w:r>
        <w:rPr>
          <w:rFonts w:ascii="Calibri" w:cs="Calibri" w:eastAsia="Calibri" w:hAnsi="Calibri"/>
          <w:b/>
          <w:bCs/>
          <w:color w:val="2E5FA3"/>
          <w:sz w:val="36"/>
          <w:szCs w:val="36"/>
        </w:rPr>
        <w:t>Întrebări frecvente (FAQ)</w:t>
      </w:r>
    </w:p>
    <w:p>
      <w:pPr>
        <w:spacing w:before="280" w:after="80"/>
      </w:pPr>
      <w:r>
        <w:rPr>
          <w:rFonts w:ascii="Calibri" w:cs="Calibri" w:eastAsia="Calibri" w:hAnsi="Calibri"/>
          <w:b/>
          <w:bCs/>
          <w:color w:val="1A1A1A"/>
          <w:sz w:val="26"/>
          <w:szCs w:val="26"/>
        </w:rPr>
        <w:t>Î: Am făcut un bon de consum și am uitat să îi pun numărul comenzii. Cum îl asociez fără să îl refac?</w:t>
      </w:r>
    </w:p>
    <w:p>
      <w:pPr>
        <w:spacing w:before="60" w:after="6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R: </w:t>
      </w:r>
      <w:r>
        <w:rPr>
          <w:rFonts w:ascii="Calibri" w:cs="Calibri" w:eastAsia="Calibri" w:hAnsi="Calibri"/>
          <w:color w:val="1A1A1A"/>
          <w:sz w:val="22"/>
          <w:szCs w:val="22"/>
        </w:rPr>
        <w:t>Dacă bonul a fost creat din „Bon de consum pe lucrări în curs de execuție" dar fără să fie selectată comanda, îl poți asocia ulterior fără a-l reface.</w:t>
      </w:r>
    </w:p>
    <w:p>
      <w:pPr>
        <w:spacing w:before="40" w:after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1.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Intră în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Registrul Jurnal </w:t>
      </w:r>
      <w:r>
        <w:rPr>
          <w:rFonts w:ascii="Calibri" w:cs="Calibri" w:eastAsia="Calibri" w:hAnsi="Calibri"/>
          <w:color w:val="1A1A1A"/>
          <w:sz w:val="22"/>
          <w:szCs w:val="22"/>
        </w:rPr>
        <w:t>din ROAGEST</w:t>
      </w:r>
    </w:p>
    <w:p>
      <w:pPr>
        <w:spacing w:before="40" w:after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2.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Caută bonul de consum și apasă butonul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>Modificare</w:t>
      </w:r>
    </w:p>
    <w:p>
      <w:pPr>
        <w:spacing w:before="40" w:after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3.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Completează lucrarea/comanda în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notele contabile </w:t>
      </w:r>
      <w:r>
        <w:rPr>
          <w:rFonts w:ascii="Calibri" w:cs="Calibri" w:eastAsia="Calibri" w:hAnsi="Calibri"/>
          <w:color w:val="1A1A1A"/>
          <w:sz w:val="22"/>
          <w:szCs w:val="22"/>
        </w:rPr>
        <w:t>(tabelul de sus)</w:t>
      </w:r>
    </w:p>
    <w:p>
      <w:pPr>
        <w:spacing w:before="40" w:after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4.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Completează comanda pe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fiecare articol </w:t>
      </w:r>
      <w:r>
        <w:rPr>
          <w:rFonts w:ascii="Calibri" w:cs="Calibri" w:eastAsia="Calibri" w:hAnsi="Calibri"/>
          <w:color w:val="1A1A1A"/>
          <w:sz w:val="22"/>
          <w:szCs w:val="22"/>
        </w:rPr>
        <w:t>din rulaje (tabelul de jos)</w:t>
      </w:r>
    </w:p>
    <w:p>
      <w:pPr>
        <w:spacing w:before="40" w:after="40"/>
        <w:ind w:left="360"/>
      </w:pPr>
      <w:r>
        <w:rPr>
          <w:rFonts w:ascii="Calibri" w:cs="Calibri" w:eastAsia="Calibri" w:hAnsi="Calibri"/>
          <w:b/>
          <w:bCs/>
          <w:color w:val="2E5FA3"/>
          <w:sz w:val="22"/>
          <w:szCs w:val="22"/>
        </w:rPr>
        <w:t xml:space="preserve">5.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Intră în ROAAUTO și pe 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Vizualizare comandă </w:t>
      </w:r>
      <w:r>
        <w:rPr>
          <w:rFonts w:ascii="Calibri" w:cs="Calibri" w:eastAsia="Calibri" w:hAnsi="Calibri"/>
          <w:color w:val="1A1A1A"/>
          <w:sz w:val="22"/>
          <w:szCs w:val="22"/>
        </w:rPr>
        <w:t>— materialele din bon ar trebui să fie vizibile acum</w:t>
      </w:r>
    </w:p>
    <w:p>
      <w:pPr>
        <w:spacing w:after="0" w:before="200"/>
      </w:pPr>
      <w: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i/>
          <w:iCs/>
          <w:color w:val="999999"/>
          <w:sz w:val="18"/>
          <w:szCs w:val="18"/>
        </w:rPr>
        <w:t xml:space="preserve">Manual generat pe baza documentației tehnice ROAAUTO</w:t>
      </w:r>
    </w:p>
    <w:sectPr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2026-02-27T10:36:34.001Z</dcterms:created>
  <dcterms:modified xsi:type="dcterms:W3CDTF">2026-02-27T10:36:34.002Z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